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ANEXO II</w:t>
      </w:r>
    </w:p>
    <w:p>
      <w:pPr>
        <w:pStyle w:val="Normal"/>
        <w:jc w:val="center"/>
        <w:rPr>
          <w:b/>
        </w:rPr>
      </w:pPr>
      <w:r>
        <w:rPr>
          <w:b/>
        </w:rPr>
        <w:t>CRITÉRIOS DE SELEÇÃO E BÔNUS DE PONTUAÇÃO</w:t>
      </w:r>
    </w:p>
    <w:p>
      <w:pPr>
        <w:pStyle w:val="Normal"/>
        <w:spacing w:before="120" w:after="120"/>
        <w:ind w:right="120"/>
        <w:jc w:val="both"/>
        <w:rPr/>
      </w:pPr>
      <w:r>
        <w:rPr/>
        <w:t>As comissões de seleção atribuirão notas de 0 a 10 pontos a cada um dos critérios de avaliação, conforme tabela a seguir:</w:t>
      </w:r>
    </w:p>
    <w:p>
      <w:pPr>
        <w:pStyle w:val="Normal"/>
        <w:jc w:val="center"/>
        <w:rPr/>
      </w:pPr>
      <w:r>
        <w:rPr/>
      </w:r>
    </w:p>
    <w:tbl>
      <w:tblPr>
        <w:tblStyle w:val="a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3009"/>
        <w:gridCol w:w="3009"/>
        <w:gridCol w:w="1"/>
        <w:gridCol w:w="3010"/>
      </w:tblGrid>
      <w:tr>
        <w:trPr>
          <w:trHeight w:val="420" w:hRule="atLeast"/>
        </w:trPr>
        <w:tc>
          <w:tcPr>
            <w:tcW w:w="90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CRITÉRIOS OBRIGATÓRIOS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Identificação do Critério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Descrição do Critério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28"/>
              <w:ind w:right="80"/>
              <w:jc w:val="center"/>
              <w:rPr/>
            </w:pPr>
            <w:r>
              <w:rPr/>
              <w:t>Reconhecida atuação no segmento cultural inscrito(a)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jc w:val="center"/>
              <w:rPr/>
            </w:pPr>
            <w:r>
              <w:rPr/>
              <w:t>Integração e inovação do agente cultural com outras esferas do conhecimento e da vida social. Ex.: integração entre cultura e educação, cultura e saúde, etc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color="auto" w:fill="auto" w:val="clear"/>
          </w:tcPr>
          <w:p>
            <w:pPr>
              <w:pStyle w:val="Normal"/>
              <w:spacing w:lineRule="auto" w:line="228" w:before="120" w:after="0"/>
              <w:ind w:right="80"/>
              <w:jc w:val="center"/>
              <w:rPr>
                <w:color w:themeColor="text2" w:val="1F497D"/>
              </w:rPr>
            </w:pPr>
            <w:r>
              <w:rPr/>
              <w:t>Contribuição a populações em situação de vulnerabilidade social, tais como idosos, crianças, pessoas negras, etc)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4" w:space="0" w:color="2B2B2B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2B2B2B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240" w:after="24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10" w:type="dxa"/>
            <w:gridSpan w:val="2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color="auto" w:fill="auto" w:val="clear"/>
          </w:tcPr>
          <w:p>
            <w:pPr>
              <w:pStyle w:val="Normal"/>
              <w:spacing w:lineRule="auto" w:line="228" w:before="120" w:after="0"/>
              <w:ind w:right="80"/>
              <w:jc w:val="center"/>
              <w:rPr/>
            </w:pPr>
            <w:r>
              <w:rPr/>
              <w:t>Contribuição do agente cultural à(s) comunidade(s) em que atua, tais como realização de ações dentro da comunidade, contratação de profissionais da comunidade, etc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4" w:space="0" w:color="2B2B2B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10</w:t>
            </w:r>
          </w:p>
        </w:tc>
      </w:tr>
      <w:tr>
        <w:trPr>
          <w:trHeight w:val="420" w:hRule="atLeast"/>
        </w:trPr>
        <w:tc>
          <w:tcPr>
            <w:tcW w:w="6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b/>
              </w:rPr>
            </w:pPr>
            <w:r>
              <w:rPr>
                <w:b/>
              </w:rPr>
              <w:t xml:space="preserve">PONTUAÇÃO TOTAL: 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/>
            </w:pPr>
            <w:r>
              <w:rPr/>
              <w:t>40</w:t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spacing w:before="120" w:after="0"/>
        <w:ind w:hanging="360" w:left="720" w:right="120"/>
        <w:jc w:val="both"/>
        <w:rPr>
          <w:rFonts w:ascii="Times New Roman" w:hAnsi="Times New Roman" w:eastAsia="Times New Roman" w:cs="Times New Roman"/>
          <w:color w:themeColor="text1" w:themeTint="d9" w:val="262626"/>
        </w:rPr>
      </w:pPr>
      <w:r>
        <w:rPr/>
        <w:t xml:space="preserve">A pontuação final de cada </w:t>
      </w:r>
      <w:r>
        <w:rPr>
          <w:color w:themeColor="text1" w:themeTint="d9" w:val="262626"/>
        </w:rPr>
        <w:t>candidatura será por consenso dos membros da comissão.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</w:rPr>
      </w:pPr>
      <w:r>
        <w:rPr/>
        <w:t xml:space="preserve">Os critérios gerais são </w:t>
      </w:r>
      <w:r>
        <w:rPr>
          <w:b/>
        </w:rPr>
        <w:t>eliminatórios</w:t>
      </w:r>
      <w:r>
        <w:rPr/>
        <w:t>, de modo que, o agente cultural que receber pontuação 0 em algum dos critérios será desclassificado do Edital.</w:t>
      </w:r>
    </w:p>
    <w:p>
      <w:pPr>
        <w:pStyle w:val="Normal"/>
        <w:numPr>
          <w:ilvl w:val="0"/>
          <w:numId w:val="2"/>
        </w:numPr>
        <w:jc w:val="both"/>
        <w:rPr>
          <w:color w:themeColor="text1" w:themeTint="d9" w:val="262626"/>
        </w:rPr>
      </w:pPr>
      <w:r>
        <w:rPr/>
        <w:t xml:space="preserve">Em caso de empate, serão </w:t>
      </w:r>
      <w:r>
        <w:rPr>
          <w:color w:themeColor="text1" w:themeTint="d9" w:val="262626"/>
        </w:rPr>
        <w:t>adotados critérios de desempate na ordem a seguir:</w:t>
      </w:r>
    </w:p>
    <w:p>
      <w:pPr>
        <w:pStyle w:val="ListParagraph"/>
        <w:numPr>
          <w:ilvl w:val="0"/>
          <w:numId w:val="3"/>
        </w:numPr>
        <w:jc w:val="both"/>
        <w:rPr>
          <w:color w:themeColor="text1" w:themeTint="d9" w:val="262626"/>
        </w:rPr>
      </w:pPr>
      <w:r>
        <w:rPr>
          <w:color w:themeColor="text1" w:themeTint="d9" w:val="262626"/>
        </w:rPr>
        <w:t>Relevância cultural;</w:t>
      </w:r>
    </w:p>
    <w:p>
      <w:pPr>
        <w:pStyle w:val="ListParagraph"/>
        <w:numPr>
          <w:ilvl w:val="0"/>
          <w:numId w:val="3"/>
        </w:numPr>
        <w:jc w:val="both"/>
        <w:rPr>
          <w:color w:themeColor="text1" w:themeTint="d9" w:val="262626"/>
        </w:rPr>
      </w:pPr>
      <w:r>
        <w:rPr>
          <w:color w:themeColor="text1" w:themeTint="d9" w:val="262626"/>
        </w:rPr>
        <w:t>Maior idade;</w:t>
      </w:r>
    </w:p>
    <w:p>
      <w:pPr>
        <w:pStyle w:val="ListParagraph"/>
        <w:numPr>
          <w:ilvl w:val="0"/>
          <w:numId w:val="3"/>
        </w:numPr>
        <w:jc w:val="both"/>
        <w:rPr>
          <w:color w:themeColor="text1" w:themeTint="d9" w:val="262626"/>
        </w:rPr>
      </w:pPr>
      <w:r>
        <w:rPr>
          <w:color w:themeColor="text1" w:themeTint="d9" w:val="262626"/>
        </w:rPr>
        <w:t>Quantidade de filhos.</w:t>
      </w:r>
    </w:p>
    <w:p>
      <w:pPr>
        <w:pStyle w:val="Normal"/>
        <w:numPr>
          <w:ilvl w:val="0"/>
          <w:numId w:val="2"/>
        </w:numPr>
        <w:jc w:val="both"/>
        <w:rPr>
          <w:color w:themeColor="text1" w:themeTint="d9" w:val="262626"/>
        </w:rPr>
      </w:pPr>
      <w:r>
        <w:rPr>
          <w:color w:themeColor="text1" w:themeTint="d9" w:val="262626"/>
        </w:rPr>
        <w:t>Serão considerados aptas os agentes culturais que receberem nota final igual ou superior a 30 pontos.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A falsidade de informações acarretará desclassificação, podendo ensejar, ainda, a aplicação de sanções administrativas ou criminais.</w:t>
      </w:r>
    </w:p>
    <w:sectPr>
      <w:footerReference w:type="default" r:id="rId2"/>
      <w:type w:val="nextPage"/>
      <w:pgSz w:w="11906" w:h="16838"/>
      <w:pgMar w:left="1440" w:right="1440" w:gutter="0" w:header="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f1376"/>
    <w:pPr>
      <w:spacing w:before="0" w:after="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59FDA-BE81-45CA-8EDF-0124E685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2</Pages>
  <Words>218</Words>
  <Characters>1189</Characters>
  <CharactersWithSpaces>1370</CharactersWithSpaces>
  <Paragraphs>30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2024-09-12T19:37:00Z</dcterms:created>
  <dc:creator>Maria Eduarda Domingues Miranda Brandão</dc:creator>
  <dc:description/>
  <dc:language>pt-BR</dc:language>
  <cp:lastModifiedBy/>
  <dcterms:modified xsi:type="dcterms:W3CDTF">2024-10-04T08:16:48Z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